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tbl>
      <w:tblPr>
        <w:tblStyle w:val="Table1"/>
        <w:tblW w:w="1312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105"/>
        <w:gridCol w:w="300"/>
        <w:gridCol w:w="885"/>
        <w:gridCol w:w="1980"/>
        <w:gridCol w:w="180"/>
        <w:gridCol w:w="105"/>
        <w:gridCol w:w="3015"/>
        <w:gridCol w:w="225"/>
        <w:gridCol w:w="105"/>
        <w:gridCol w:w="3105"/>
        <w:tblGridChange w:id="0">
          <w:tblGrid>
            <w:gridCol w:w="3120"/>
            <w:gridCol w:w="105"/>
            <w:gridCol w:w="300"/>
            <w:gridCol w:w="885"/>
            <w:gridCol w:w="1980"/>
            <w:gridCol w:w="180"/>
            <w:gridCol w:w="105"/>
            <w:gridCol w:w="3015"/>
            <w:gridCol w:w="225"/>
            <w:gridCol w:w="105"/>
            <w:gridCol w:w="3105"/>
          </w:tblGrid>
        </w:tblGridChange>
      </w:tblGrid>
      <w:tr>
        <w:trPr>
          <w:cantSplit w:val="0"/>
          <w:trHeight w:val="380" w:hRule="atLeast"/>
          <w:tblHeader w:val="0"/>
        </w:trPr>
        <w:tc>
          <w:tcPr>
            <w:gridSpan w:val="4"/>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Marking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Period</w:t>
            </w:r>
          </w:p>
        </w:tc>
        <w:tc>
          <w:tcPr>
            <w:gridSpan w:val="5"/>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Title</w:t>
            </w:r>
          </w:p>
        </w:tc>
        <w:tc>
          <w:tcPr>
            <w:gridSpan w:val="2"/>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Instructional Days</w:t>
            </w:r>
          </w:p>
        </w:tc>
      </w:tr>
      <w:tr>
        <w:trPr>
          <w:cantSplit w:val="0"/>
          <w:trHeight w:val="380" w:hRule="atLeast"/>
          <w:tblHeader w:val="0"/>
        </w:trPr>
        <w:tc>
          <w:tcPr>
            <w:gridSpan w:val="4"/>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All</w:t>
            </w: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Presenting</w:t>
            </w:r>
            <w:r w:rsidDel="00000000" w:rsidR="00000000" w:rsidRPr="00000000">
              <w:rPr>
                <w:rtl w:val="0"/>
              </w:rPr>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Process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Anchor Standard: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General Knowledge &amp; Skills</w:t>
            </w:r>
          </w:p>
        </w:tc>
        <w:tc>
          <w:tcPr>
            <w:gridSpan w:val="4"/>
            <w:vMerge w:val="restart"/>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Activities, Investigations, </w:t>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Interdisciplinary Connections, and/or Student </w:t>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Experiences to Explore NJSLS-VPA within Unit</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Creating</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Presenting</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Responding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Connecting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spacing w:after="240" w:lineRule="auto"/>
              <w:rPr>
                <w:b w:val="1"/>
                <w:sz w:val="20"/>
                <w:szCs w:val="20"/>
              </w:rPr>
            </w:pPr>
            <w:r w:rsidDel="00000000" w:rsidR="00000000" w:rsidRPr="00000000">
              <w:rPr>
                <w:b w:val="1"/>
                <w:sz w:val="20"/>
                <w:szCs w:val="20"/>
                <w:rtl w:val="0"/>
              </w:rPr>
              <w:t xml:space="preserve">Presenting</w:t>
            </w:r>
          </w:p>
          <w:p w:rsidR="00000000" w:rsidDel="00000000" w:rsidP="00000000" w:rsidRDefault="00000000" w:rsidRPr="00000000" w14:paraId="00000034">
            <w:pPr>
              <w:widowControl w:val="0"/>
              <w:spacing w:after="240" w:lineRule="auto"/>
              <w:rPr>
                <w:sz w:val="20"/>
                <w:szCs w:val="20"/>
              </w:rPr>
            </w:pPr>
            <w:r w:rsidDel="00000000" w:rsidR="00000000" w:rsidRPr="00000000">
              <w:rPr>
                <w:b w:val="1"/>
                <w:sz w:val="20"/>
                <w:szCs w:val="20"/>
                <w:rtl w:val="0"/>
              </w:rPr>
              <w:t xml:space="preserve">Anchor Standard 4: </w:t>
            </w:r>
            <w:r w:rsidDel="00000000" w:rsidR="00000000" w:rsidRPr="00000000">
              <w:rPr>
                <w:sz w:val="20"/>
                <w:szCs w:val="20"/>
                <w:rtl w:val="0"/>
              </w:rPr>
              <w:t xml:space="preserve">Selecting, analyzing, and interpreting work. </w:t>
            </w:r>
          </w:p>
          <w:p w:rsidR="00000000" w:rsidDel="00000000" w:rsidP="00000000" w:rsidRDefault="00000000" w:rsidRPr="00000000" w14:paraId="00000035">
            <w:pPr>
              <w:widowControl w:val="0"/>
              <w:spacing w:after="240" w:lineRule="auto"/>
              <w:rPr>
                <w:sz w:val="20"/>
                <w:szCs w:val="20"/>
              </w:rPr>
            </w:pPr>
            <w:r w:rsidDel="00000000" w:rsidR="00000000" w:rsidRPr="00000000">
              <w:rPr>
                <w:b w:val="1"/>
                <w:sz w:val="20"/>
                <w:szCs w:val="20"/>
                <w:rtl w:val="0"/>
              </w:rPr>
              <w:t xml:space="preserve">Anchor Standard 5: </w:t>
            </w:r>
            <w:r w:rsidDel="00000000" w:rsidR="00000000" w:rsidRPr="00000000">
              <w:rPr>
                <w:sz w:val="20"/>
                <w:szCs w:val="20"/>
                <w:rtl w:val="0"/>
              </w:rPr>
              <w:t xml:space="preserve">Developing and refining techniques and models or steps needed to create products.</w:t>
            </w:r>
          </w:p>
          <w:p w:rsidR="00000000" w:rsidDel="00000000" w:rsidP="00000000" w:rsidRDefault="00000000" w:rsidRPr="00000000" w14:paraId="00000036">
            <w:pPr>
              <w:widowControl w:val="0"/>
              <w:spacing w:after="240" w:lineRule="auto"/>
              <w:rPr>
                <w:sz w:val="20"/>
                <w:szCs w:val="20"/>
              </w:rPr>
            </w:pPr>
            <w:r w:rsidDel="00000000" w:rsidR="00000000" w:rsidRPr="00000000">
              <w:rPr>
                <w:b w:val="1"/>
                <w:sz w:val="20"/>
                <w:szCs w:val="20"/>
                <w:rtl w:val="0"/>
              </w:rPr>
              <w:t xml:space="preserve">Anchor Standard 6: </w:t>
            </w:r>
            <w:r w:rsidDel="00000000" w:rsidR="00000000" w:rsidRPr="00000000">
              <w:rPr>
                <w:sz w:val="20"/>
                <w:szCs w:val="20"/>
                <w:rtl w:val="0"/>
              </w:rPr>
              <w:t xml:space="preserve">Conveying meaning through art.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Practice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Performance Expectation/s:</w:t>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b w:val="1"/>
                <w:sz w:val="20"/>
                <w:szCs w:val="20"/>
              </w:rPr>
            </w:pPr>
            <w:r w:rsidDel="00000000" w:rsidR="00000000" w:rsidRPr="00000000">
              <w:rPr>
                <w:b w:val="1"/>
                <w:sz w:val="20"/>
                <w:szCs w:val="20"/>
                <w:rtl w:val="0"/>
              </w:rPr>
              <w:t xml:space="preserve">Creating</w:t>
            </w:r>
          </w:p>
          <w:p w:rsidR="00000000" w:rsidDel="00000000" w:rsidP="00000000" w:rsidRDefault="00000000" w:rsidRPr="00000000" w14:paraId="0000004D">
            <w:pPr>
              <w:widowControl w:val="0"/>
              <w:numPr>
                <w:ilvl w:val="0"/>
                <w:numId w:val="15"/>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Explore</w:t>
            </w:r>
            <w:r w:rsidDel="00000000" w:rsidR="00000000" w:rsidRPr="00000000">
              <w:rPr>
                <w:rtl w:val="0"/>
              </w:rPr>
            </w:r>
          </w:p>
          <w:p w:rsidR="00000000" w:rsidDel="00000000" w:rsidP="00000000" w:rsidRDefault="00000000" w:rsidRPr="00000000" w14:paraId="0000004E">
            <w:pPr>
              <w:widowControl w:val="0"/>
              <w:numPr>
                <w:ilvl w:val="0"/>
                <w:numId w:val="15"/>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Investigate</w:t>
            </w:r>
            <w:r w:rsidDel="00000000" w:rsidR="00000000" w:rsidRPr="00000000">
              <w:rPr>
                <w:rtl w:val="0"/>
              </w:rPr>
            </w:r>
          </w:p>
          <w:p w:rsidR="00000000" w:rsidDel="00000000" w:rsidP="00000000" w:rsidRDefault="00000000" w:rsidRPr="00000000" w14:paraId="0000004F">
            <w:pPr>
              <w:widowControl w:val="0"/>
              <w:numPr>
                <w:ilvl w:val="0"/>
                <w:numId w:val="15"/>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Reflect- Refine, Continue</w:t>
            </w:r>
            <w:r w:rsidDel="00000000" w:rsidR="00000000" w:rsidRPr="00000000">
              <w:rPr>
                <w:rtl w:val="0"/>
              </w:rPr>
            </w:r>
          </w:p>
          <w:p w:rsidR="00000000" w:rsidDel="00000000" w:rsidP="00000000" w:rsidRDefault="00000000" w:rsidRPr="00000000" w14:paraId="00000050">
            <w:pPr>
              <w:widowControl w:val="0"/>
              <w:rPr>
                <w:b w:val="1"/>
                <w:sz w:val="20"/>
                <w:szCs w:val="20"/>
              </w:rPr>
            </w:pPr>
            <w:r w:rsidDel="00000000" w:rsidR="00000000" w:rsidRPr="00000000">
              <w:rPr>
                <w:b w:val="1"/>
                <w:sz w:val="20"/>
                <w:szCs w:val="20"/>
                <w:rtl w:val="0"/>
              </w:rPr>
              <w:t xml:space="preserve">Peresenting</w:t>
            </w:r>
          </w:p>
          <w:p w:rsidR="00000000" w:rsidDel="00000000" w:rsidP="00000000" w:rsidRDefault="00000000" w:rsidRPr="00000000" w14:paraId="00000051">
            <w:pPr>
              <w:widowControl w:val="0"/>
              <w:numPr>
                <w:ilvl w:val="0"/>
                <w:numId w:val="18"/>
              </w:numPr>
              <w:ind w:left="720" w:hanging="360"/>
              <w:rPr>
                <w:b w:val="1"/>
                <w:sz w:val="20"/>
                <w:szCs w:val="20"/>
              </w:rPr>
            </w:pPr>
            <w:r w:rsidDel="00000000" w:rsidR="00000000" w:rsidRPr="00000000">
              <w:rPr>
                <w:b w:val="1"/>
                <w:sz w:val="20"/>
                <w:szCs w:val="20"/>
                <w:rtl w:val="0"/>
              </w:rPr>
              <w:t xml:space="preserve">Select</w:t>
            </w:r>
          </w:p>
          <w:p w:rsidR="00000000" w:rsidDel="00000000" w:rsidP="00000000" w:rsidRDefault="00000000" w:rsidRPr="00000000" w14:paraId="00000052">
            <w:pPr>
              <w:widowControl w:val="0"/>
              <w:numPr>
                <w:ilvl w:val="0"/>
                <w:numId w:val="18"/>
              </w:numPr>
              <w:ind w:left="720" w:hanging="360"/>
              <w:rPr>
                <w:b w:val="1"/>
                <w:sz w:val="20"/>
                <w:szCs w:val="20"/>
              </w:rPr>
            </w:pPr>
            <w:r w:rsidDel="00000000" w:rsidR="00000000" w:rsidRPr="00000000">
              <w:rPr>
                <w:b w:val="1"/>
                <w:sz w:val="20"/>
                <w:szCs w:val="20"/>
                <w:rtl w:val="0"/>
              </w:rPr>
              <w:t xml:space="preserve">Analyze</w:t>
            </w:r>
          </w:p>
          <w:p w:rsidR="00000000" w:rsidDel="00000000" w:rsidP="00000000" w:rsidRDefault="00000000" w:rsidRPr="00000000" w14:paraId="00000053">
            <w:pPr>
              <w:widowControl w:val="0"/>
              <w:numPr>
                <w:ilvl w:val="0"/>
                <w:numId w:val="18"/>
              </w:numPr>
              <w:ind w:left="720" w:hanging="360"/>
              <w:rPr>
                <w:b w:val="1"/>
                <w:sz w:val="20"/>
                <w:szCs w:val="20"/>
              </w:rPr>
            </w:pPr>
            <w:r w:rsidDel="00000000" w:rsidR="00000000" w:rsidRPr="00000000">
              <w:rPr>
                <w:b w:val="1"/>
                <w:sz w:val="20"/>
                <w:szCs w:val="20"/>
                <w:rtl w:val="0"/>
              </w:rPr>
              <w:t xml:space="preserve">Share</w:t>
            </w:r>
          </w:p>
          <w:p w:rsidR="00000000" w:rsidDel="00000000" w:rsidP="00000000" w:rsidRDefault="00000000" w:rsidRPr="00000000" w14:paraId="00000054">
            <w:pPr>
              <w:widowControl w:val="0"/>
              <w:rPr>
                <w:b w:val="1"/>
                <w:sz w:val="20"/>
                <w:szCs w:val="20"/>
              </w:rPr>
            </w:pPr>
            <w:r w:rsidDel="00000000" w:rsidR="00000000" w:rsidRPr="00000000">
              <w:rPr>
                <w:b w:val="1"/>
                <w:sz w:val="20"/>
                <w:szCs w:val="20"/>
                <w:rtl w:val="0"/>
              </w:rPr>
              <w:t xml:space="preserve">Responding</w:t>
            </w:r>
          </w:p>
          <w:p w:rsidR="00000000" w:rsidDel="00000000" w:rsidP="00000000" w:rsidRDefault="00000000" w:rsidRPr="00000000" w14:paraId="00000055">
            <w:pPr>
              <w:widowControl w:val="0"/>
              <w:numPr>
                <w:ilvl w:val="0"/>
                <w:numId w:val="20"/>
              </w:numPr>
              <w:ind w:left="720" w:hanging="360"/>
              <w:rPr>
                <w:sz w:val="20"/>
                <w:szCs w:val="20"/>
              </w:rPr>
            </w:pPr>
            <w:r w:rsidDel="00000000" w:rsidR="00000000" w:rsidRPr="00000000">
              <w:rPr>
                <w:sz w:val="20"/>
                <w:szCs w:val="20"/>
                <w:rtl w:val="0"/>
              </w:rPr>
              <w:t xml:space="preserve">Perceive</w:t>
            </w:r>
          </w:p>
          <w:p w:rsidR="00000000" w:rsidDel="00000000" w:rsidP="00000000" w:rsidRDefault="00000000" w:rsidRPr="00000000" w14:paraId="00000056">
            <w:pPr>
              <w:widowControl w:val="0"/>
              <w:numPr>
                <w:ilvl w:val="0"/>
                <w:numId w:val="20"/>
              </w:numPr>
              <w:ind w:left="720" w:hanging="360"/>
              <w:rPr>
                <w:sz w:val="20"/>
                <w:szCs w:val="20"/>
              </w:rPr>
            </w:pPr>
            <w:r w:rsidDel="00000000" w:rsidR="00000000" w:rsidRPr="00000000">
              <w:rPr>
                <w:sz w:val="20"/>
                <w:szCs w:val="20"/>
                <w:rtl w:val="0"/>
              </w:rPr>
              <w:t xml:space="preserve">Analyze</w:t>
            </w:r>
          </w:p>
          <w:p w:rsidR="00000000" w:rsidDel="00000000" w:rsidP="00000000" w:rsidRDefault="00000000" w:rsidRPr="00000000" w14:paraId="00000057">
            <w:pPr>
              <w:widowControl w:val="0"/>
              <w:numPr>
                <w:ilvl w:val="0"/>
                <w:numId w:val="20"/>
              </w:numPr>
              <w:ind w:left="720" w:hanging="360"/>
              <w:rPr>
                <w:sz w:val="20"/>
                <w:szCs w:val="20"/>
              </w:rPr>
            </w:pPr>
            <w:r w:rsidDel="00000000" w:rsidR="00000000" w:rsidRPr="00000000">
              <w:rPr>
                <w:sz w:val="20"/>
                <w:szCs w:val="20"/>
                <w:rtl w:val="0"/>
              </w:rPr>
              <w:t xml:space="preserve">Interpret</w:t>
            </w:r>
          </w:p>
          <w:p w:rsidR="00000000" w:rsidDel="00000000" w:rsidP="00000000" w:rsidRDefault="00000000" w:rsidRPr="00000000" w14:paraId="00000058">
            <w:pPr>
              <w:widowControl w:val="0"/>
              <w:rPr>
                <w:b w:val="1"/>
                <w:sz w:val="20"/>
                <w:szCs w:val="20"/>
              </w:rPr>
            </w:pPr>
            <w:r w:rsidDel="00000000" w:rsidR="00000000" w:rsidRPr="00000000">
              <w:rPr>
                <w:b w:val="1"/>
                <w:sz w:val="20"/>
                <w:szCs w:val="20"/>
                <w:rtl w:val="0"/>
              </w:rPr>
              <w:t xml:space="preserve">Connecting</w:t>
            </w:r>
          </w:p>
          <w:p w:rsidR="00000000" w:rsidDel="00000000" w:rsidP="00000000" w:rsidRDefault="00000000" w:rsidRPr="00000000" w14:paraId="00000059">
            <w:pPr>
              <w:widowControl w:val="0"/>
              <w:numPr>
                <w:ilvl w:val="0"/>
                <w:numId w:val="27"/>
              </w:numPr>
              <w:ind w:left="720" w:hanging="360"/>
              <w:rPr>
                <w:sz w:val="20"/>
                <w:szCs w:val="20"/>
              </w:rPr>
            </w:pPr>
            <w:r w:rsidDel="00000000" w:rsidR="00000000" w:rsidRPr="00000000">
              <w:rPr>
                <w:sz w:val="20"/>
                <w:szCs w:val="20"/>
                <w:rtl w:val="0"/>
              </w:rPr>
              <w:t xml:space="preserve">Synthesize</w:t>
            </w:r>
          </w:p>
          <w:p w:rsidR="00000000" w:rsidDel="00000000" w:rsidP="00000000" w:rsidRDefault="00000000" w:rsidRPr="00000000" w14:paraId="0000005A">
            <w:pPr>
              <w:widowControl w:val="0"/>
              <w:numPr>
                <w:ilvl w:val="0"/>
                <w:numId w:val="27"/>
              </w:numPr>
              <w:ind w:left="720" w:hanging="360"/>
              <w:rPr>
                <w:sz w:val="20"/>
                <w:szCs w:val="20"/>
              </w:rPr>
            </w:pPr>
            <w:r w:rsidDel="00000000" w:rsidR="00000000" w:rsidRPr="00000000">
              <w:rPr>
                <w:sz w:val="20"/>
                <w:szCs w:val="20"/>
                <w:rtl w:val="0"/>
              </w:rPr>
              <w:t xml:space="preserve">Relate</w:t>
            </w:r>
          </w:p>
        </w:tc>
        <w:tc>
          <w:tcPr>
            <w:gridSpan w:val="5"/>
            <w:tcBorders>
              <w:top w:color="000000" w:space="0" w:sz="4" w:val="single"/>
              <w:left w:color="000000" w:space="0" w:sz="4" w:val="single"/>
              <w:right w:color="000000" w:space="0" w:sz="4"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HS Proficient</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1.5.12prof.Pr4 - Analyze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Analyze, select, and curate artifacts and/or artworks for presentation and preservation.</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1.5.12prof.Pr5 - Select</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Analyze and evaluate the reasons and ways an exhibition is presented.</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1.5.12prof.Pr6 - Share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Analyze and describe the impact that an exhibition or collection has on personal awareness of social, cultural, or political beliefs and understandings. </w:t>
            </w: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18"/>
                <w:szCs w:val="18"/>
                <w:u w:val="single"/>
                <w:rtl w:val="0"/>
              </w:rPr>
              <w:t xml:space="preserve">Activity Description</w:t>
            </w:r>
            <w:r w:rsidDel="00000000" w:rsidR="00000000" w:rsidRPr="00000000">
              <w:rPr>
                <w:b w:val="1"/>
                <w:sz w:val="18"/>
                <w:szCs w:val="18"/>
                <w:rtl w:val="0"/>
              </w:rPr>
              <w:t xml:space="preserve">:</w:t>
            </w:r>
            <w:r w:rsidDel="00000000" w:rsidR="00000000" w:rsidRPr="00000000">
              <w:rPr>
                <w:sz w:val="20"/>
                <w:szCs w:val="20"/>
                <w:rtl w:val="0"/>
              </w:rPr>
              <w:t xml:space="preserve"> </w:t>
            </w:r>
          </w:p>
          <w:p w:rsidR="00000000" w:rsidDel="00000000" w:rsidP="00000000" w:rsidRDefault="00000000" w:rsidRPr="00000000" w14:paraId="0000006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Analyzing and selecting images which most closely reflects the creative vision of the artist to showcase to an audience. </w:t>
            </w:r>
          </w:p>
          <w:p w:rsidR="00000000" w:rsidDel="00000000" w:rsidP="00000000" w:rsidRDefault="00000000" w:rsidRPr="00000000" w14:paraId="0000006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Recognizing themes and concepts explored in digital artworks to understand what digital artists are focusing on and communicating to audiences.</w:t>
            </w:r>
          </w:p>
          <w:p w:rsidR="00000000" w:rsidDel="00000000" w:rsidP="00000000" w:rsidRDefault="00000000" w:rsidRPr="00000000" w14:paraId="0000006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Viewing and discussing the criteria of illustration and its purposes.</w:t>
            </w:r>
          </w:p>
          <w:p w:rsidR="00000000" w:rsidDel="00000000" w:rsidP="00000000" w:rsidRDefault="00000000" w:rsidRPr="00000000" w14:paraId="0000007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Visiting book stores, galleries, conventions, or a class exhibit.</w:t>
            </w:r>
          </w:p>
          <w:p w:rsidR="00000000" w:rsidDel="00000000" w:rsidP="00000000" w:rsidRDefault="00000000" w:rsidRPr="00000000" w14:paraId="0000007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Viewing online portfolios and galleries.</w:t>
            </w:r>
          </w:p>
          <w:p w:rsidR="00000000" w:rsidDel="00000000" w:rsidP="00000000" w:rsidRDefault="00000000" w:rsidRPr="00000000" w14:paraId="0000007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Exploring a variety of digital artwork types to understand how they are used effectively as visual communication to its audiences.</w:t>
            </w:r>
          </w:p>
          <w:p w:rsidR="00000000" w:rsidDel="00000000" w:rsidP="00000000" w:rsidRDefault="00000000" w:rsidRPr="00000000" w14:paraId="00000073">
            <w:pPr>
              <w:numPr>
                <w:ilvl w:val="0"/>
                <w:numId w:val="23"/>
              </w:numPr>
              <w:ind w:left="720" w:hanging="360"/>
              <w:rPr>
                <w:sz w:val="20"/>
                <w:szCs w:val="20"/>
              </w:rPr>
            </w:pPr>
            <w:r w:rsidDel="00000000" w:rsidR="00000000" w:rsidRPr="00000000">
              <w:rPr>
                <w:sz w:val="20"/>
                <w:szCs w:val="20"/>
                <w:rtl w:val="0"/>
              </w:rPr>
              <w:t xml:space="preserve">Analyzing all of the possible career pathways as a digital painter and discovering that it is broad and not limited to one type and then can begin specializing on a type of digital art.</w:t>
            </w:r>
          </w:p>
          <w:p w:rsidR="00000000" w:rsidDel="00000000" w:rsidP="00000000" w:rsidRDefault="00000000" w:rsidRPr="00000000" w14:paraId="0000007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Utilizing the resources available to store and present artwork within Adobe Photoshop, Behance, Google Drive, and social media platforms such as Instagram to share their work. </w:t>
            </w:r>
          </w:p>
          <w:p w:rsidR="00000000" w:rsidDel="00000000" w:rsidP="00000000" w:rsidRDefault="00000000" w:rsidRPr="00000000" w14:paraId="0000007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Learning how to setup, format, and save documents to either share on the Internet or to print for display.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2dcdb" w:val="clear"/>
            <w:vAlign w:val="center"/>
          </w:tcPr>
          <w:p w:rsidR="00000000" w:rsidDel="00000000" w:rsidP="00000000" w:rsidRDefault="00000000" w:rsidRPr="00000000" w14:paraId="0000007A">
            <w:pPr>
              <w:pStyle w:val="Heading3"/>
              <w:tabs>
                <w:tab w:val="left" w:pos="2400"/>
              </w:tabs>
              <w:spacing w:before="0" w:lineRule="auto"/>
              <w:ind w:right="144"/>
              <w:jc w:val="center"/>
              <w:rPr>
                <w:i w:val="1"/>
                <w:sz w:val="20"/>
                <w:szCs w:val="20"/>
              </w:rPr>
            </w:pPr>
            <w:r w:rsidDel="00000000" w:rsidR="00000000" w:rsidRPr="00000000">
              <w:rPr>
                <w:sz w:val="20"/>
                <w:szCs w:val="20"/>
                <w:rtl w:val="0"/>
              </w:rPr>
              <w:t xml:space="preserve">Enduring Understanding/s:</w:t>
            </w:r>
            <w:r w:rsidDel="00000000" w:rsidR="00000000" w:rsidRPr="00000000">
              <w:rPr>
                <w:rtl w:val="0"/>
              </w:rPr>
            </w:r>
          </w:p>
        </w:tc>
        <w:tc>
          <w:tcPr>
            <w:gridSpan w:val="5"/>
            <w:tcBorders>
              <w:left w:color="000000" w:space="0" w:sz="4" w:val="single"/>
            </w:tcBorders>
            <w:shd w:fill="f2dcdb" w:val="clear"/>
            <w:vAlign w:val="center"/>
          </w:tcPr>
          <w:p w:rsidR="00000000" w:rsidDel="00000000" w:rsidP="00000000" w:rsidRDefault="00000000" w:rsidRPr="00000000" w14:paraId="0000007C">
            <w:pPr>
              <w:pStyle w:val="Heading3"/>
              <w:tabs>
                <w:tab w:val="left" w:pos="2400"/>
              </w:tabs>
              <w:ind w:right="144"/>
              <w:jc w:val="center"/>
              <w:rPr>
                <w:i w:val="1"/>
                <w:sz w:val="20"/>
                <w:szCs w:val="20"/>
              </w:rPr>
            </w:pPr>
            <w:bookmarkStart w:colFirst="0" w:colLast="0" w:name="_heading=h.30j0zll" w:id="1"/>
            <w:bookmarkEnd w:id="1"/>
            <w:r w:rsidDel="00000000" w:rsidR="00000000" w:rsidRPr="00000000">
              <w:rPr>
                <w:sz w:val="20"/>
                <w:szCs w:val="20"/>
                <w:rtl w:val="0"/>
              </w:rPr>
              <w:t xml:space="preserve">Essential Question/s:</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Artists and other presenters consider various techniques, methods, veneers, and criteria when analyzing, selecting, and curating objects, artifacts, and artworks for preservation and presentation.</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Artists, curators, and others consider a variety of factors and methods including evolving technologies when preparing and refining artwork for display and/or when deciding if and how to preserve and protect it.</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 </w:t>
            </w:r>
          </w:p>
        </w:tc>
        <w:tc>
          <w:tcPr>
            <w:gridSpan w:val="5"/>
            <w:tcBorders>
              <w:left w:color="000000" w:space="0" w:sz="4" w:val="single"/>
            </w:tcBorders>
            <w:shd w:fill="ffffff" w:val="cle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Analyze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are the artworks cared for and by whom?</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What criteria, methods, and processes are used to select work for preservation or presentation?</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Why do people value objects, artifacts, and artworks, and select them for presentation?</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Select</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What methods and processes are considered when preparing artwork for presentation or preservation?</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does refining artwork affect irts meaning to the viewer? What criteria are considered when selecting work for presentation, a portfolio, or a collection?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Share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What is an art museum? How does the presenting and sharing of objects, artifacts, and artworks influence and shape ideas, beliefs, and experiences? </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objects, artifacts, and artworks collected, preserved, or presented cultivate appreciation and understanding?</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shd w:fill="d9d2e9" w:val="clear"/>
          </w:tcPr>
          <w:p w:rsidR="00000000" w:rsidDel="00000000" w:rsidP="00000000" w:rsidRDefault="00000000" w:rsidRPr="00000000" w14:paraId="000000A3">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A4">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Competencies</w:t>
            </w:r>
          </w:p>
        </w:tc>
        <w:tc>
          <w:tcPr>
            <w:gridSpan w:val="5"/>
            <w:tcBorders>
              <w:left w:color="000000" w:space="0" w:sz="4" w:val="single"/>
            </w:tcBorders>
            <w:shd w:fill="d9d2e9" w:val="clear"/>
          </w:tcPr>
          <w:p w:rsidR="00000000" w:rsidDel="00000000" w:rsidP="00000000" w:rsidRDefault="00000000" w:rsidRPr="00000000" w14:paraId="000000A6">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A7">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Sub-Competencies</w:t>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tcPr>
          <w:p w:rsidR="00000000" w:rsidDel="00000000" w:rsidP="00000000" w:rsidRDefault="00000000" w:rsidRPr="00000000" w14:paraId="000000B0">
            <w:pPr>
              <w:rPr>
                <w:sz w:val="20"/>
                <w:szCs w:val="20"/>
              </w:rPr>
            </w:pPr>
            <w:r w:rsidDel="00000000" w:rsidR="00000000" w:rsidRPr="00000000">
              <w:rPr>
                <w:sz w:val="20"/>
                <w:szCs w:val="20"/>
                <w:rtl w:val="0"/>
              </w:rPr>
              <w:t xml:space="preserve">4 - Analyze, interpret &amp; select</w:t>
            </w:r>
          </w:p>
          <w:p w:rsidR="00000000" w:rsidDel="00000000" w:rsidP="00000000" w:rsidRDefault="00000000" w:rsidRPr="00000000" w14:paraId="000000B1">
            <w:pPr>
              <w:rPr>
                <w:sz w:val="20"/>
                <w:szCs w:val="20"/>
              </w:rPr>
            </w:pPr>
            <w:r w:rsidDel="00000000" w:rsidR="00000000" w:rsidRPr="00000000">
              <w:rPr>
                <w:sz w:val="20"/>
                <w:szCs w:val="20"/>
                <w:rtl w:val="0"/>
              </w:rPr>
              <w:t xml:space="preserve">artistic work for Presentation.</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sz w:val="20"/>
                <w:szCs w:val="20"/>
                <w:rtl w:val="0"/>
              </w:rPr>
              <w:t xml:space="preserve">5 - Develop &amp; refine artistic</w:t>
            </w:r>
          </w:p>
          <w:p w:rsidR="00000000" w:rsidDel="00000000" w:rsidP="00000000" w:rsidRDefault="00000000" w:rsidRPr="00000000" w14:paraId="000000B4">
            <w:pPr>
              <w:rPr>
                <w:sz w:val="20"/>
                <w:szCs w:val="20"/>
              </w:rPr>
            </w:pPr>
            <w:r w:rsidDel="00000000" w:rsidR="00000000" w:rsidRPr="00000000">
              <w:rPr>
                <w:sz w:val="20"/>
                <w:szCs w:val="20"/>
                <w:rtl w:val="0"/>
              </w:rPr>
              <w:t xml:space="preserve">techniques &amp; work for</w:t>
            </w:r>
          </w:p>
          <w:p w:rsidR="00000000" w:rsidDel="00000000" w:rsidP="00000000" w:rsidRDefault="00000000" w:rsidRPr="00000000" w14:paraId="000000B5">
            <w:pPr>
              <w:rPr>
                <w:sz w:val="20"/>
                <w:szCs w:val="20"/>
              </w:rPr>
            </w:pPr>
            <w:r w:rsidDel="00000000" w:rsidR="00000000" w:rsidRPr="00000000">
              <w:rPr>
                <w:sz w:val="20"/>
                <w:szCs w:val="20"/>
                <w:rtl w:val="0"/>
              </w:rPr>
              <w:t xml:space="preserve">presentation.</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sz w:val="20"/>
                <w:szCs w:val="20"/>
                <w:rtl w:val="0"/>
              </w:rPr>
              <w:t xml:space="preserve">6 - Convey meaning through the presentation of artistic work.</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5"/>
            <w:tcBorders>
              <w:left w:color="000000" w:space="0" w:sz="4" w:val="single"/>
            </w:tcBorders>
          </w:tcPr>
          <w:p w:rsidR="00000000" w:rsidDel="00000000" w:rsidP="00000000" w:rsidRDefault="00000000" w:rsidRPr="00000000" w14:paraId="000000BA">
            <w:pPr>
              <w:jc w:val="both"/>
              <w:rPr>
                <w:sz w:val="20"/>
                <w:szCs w:val="20"/>
              </w:rPr>
            </w:pPr>
            <w:r w:rsidDel="00000000" w:rsidR="00000000" w:rsidRPr="00000000">
              <w:rPr>
                <w:b w:val="1"/>
                <w:sz w:val="20"/>
                <w:szCs w:val="20"/>
                <w:rtl w:val="0"/>
              </w:rPr>
              <w:t xml:space="preserve">4- Consolidated EU: </w:t>
            </w:r>
            <w:r w:rsidDel="00000000" w:rsidR="00000000" w:rsidRPr="00000000">
              <w:rPr>
                <w:sz w:val="20"/>
                <w:szCs w:val="20"/>
                <w:rtl w:val="0"/>
              </w:rPr>
              <w:t xml:space="preserve">Artists make strong choices to effectively convey meaning through their understanding of context and expressive intent.</w:t>
            </w:r>
          </w:p>
          <w:p w:rsidR="00000000" w:rsidDel="00000000" w:rsidP="00000000" w:rsidRDefault="00000000" w:rsidRPr="00000000" w14:paraId="000000BB">
            <w:pPr>
              <w:jc w:val="both"/>
              <w:rPr>
                <w:b w:val="1"/>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b w:val="1"/>
                <w:sz w:val="20"/>
                <w:szCs w:val="20"/>
                <w:rtl w:val="0"/>
              </w:rPr>
              <w:t xml:space="preserve">4- Consolidated EQ: </w:t>
            </w:r>
            <w:r w:rsidDel="00000000" w:rsidR="00000000" w:rsidRPr="00000000">
              <w:rPr>
                <w:sz w:val="20"/>
                <w:szCs w:val="20"/>
                <w:rtl w:val="0"/>
              </w:rPr>
              <w:t xml:space="preserve">How do artists select repertoire? How does understanding the structure and context of artworks inform performance and presentation? How do artists interpret their works?</w:t>
            </w:r>
          </w:p>
          <w:p w:rsidR="00000000" w:rsidDel="00000000" w:rsidP="00000000" w:rsidRDefault="00000000" w:rsidRPr="00000000" w14:paraId="000000BD">
            <w:pPr>
              <w:jc w:val="both"/>
              <w:rPr>
                <w:b w:val="1"/>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b w:val="1"/>
                <w:sz w:val="20"/>
                <w:szCs w:val="20"/>
                <w:rtl w:val="0"/>
              </w:rPr>
              <w:t xml:space="preserve">5- Consolidated EU: </w:t>
            </w:r>
            <w:r w:rsidDel="00000000" w:rsidR="00000000" w:rsidRPr="00000000">
              <w:rPr>
                <w:sz w:val="20"/>
                <w:szCs w:val="20"/>
                <w:rtl w:val="0"/>
              </w:rPr>
              <w:t xml:space="preserve">Artists develop personal processes and skills. To express their ideas, artists analyze, evaluate, &amp; refine their presentation/performance over time through openness to new ideas, persistence, and the application of appropriate criteria. </w:t>
            </w:r>
          </w:p>
          <w:p w:rsidR="00000000" w:rsidDel="00000000" w:rsidP="00000000" w:rsidRDefault="00000000" w:rsidRPr="00000000" w14:paraId="000000BF">
            <w:pPr>
              <w:jc w:val="both"/>
              <w:rPr>
                <w:b w:val="1"/>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b w:val="1"/>
                <w:sz w:val="20"/>
                <w:szCs w:val="20"/>
                <w:rtl w:val="0"/>
              </w:rPr>
              <w:t xml:space="preserve">5- Consolidated EQ: </w:t>
            </w:r>
            <w:r w:rsidDel="00000000" w:rsidR="00000000" w:rsidRPr="00000000">
              <w:rPr>
                <w:sz w:val="20"/>
                <w:szCs w:val="20"/>
                <w:rtl w:val="0"/>
              </w:rPr>
              <w:t xml:space="preserve">How do artists improve the quality of their presentation?</w:t>
            </w:r>
          </w:p>
          <w:p w:rsidR="00000000" w:rsidDel="00000000" w:rsidP="00000000" w:rsidRDefault="00000000" w:rsidRPr="00000000" w14:paraId="000000C1">
            <w:pPr>
              <w:jc w:val="both"/>
              <w:rPr>
                <w:b w:val="1"/>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b w:val="1"/>
                <w:sz w:val="20"/>
                <w:szCs w:val="20"/>
                <w:rtl w:val="0"/>
              </w:rPr>
              <w:t xml:space="preserve">6- Consolidated EU: </w:t>
            </w:r>
            <w:r w:rsidDel="00000000" w:rsidR="00000000" w:rsidRPr="00000000">
              <w:rPr>
                <w:sz w:val="20"/>
                <w:szCs w:val="20"/>
                <w:rtl w:val="0"/>
              </w:rPr>
              <w:t xml:space="preserve">Artists judge presentation based on criteria that vary across time, place, and cultures. The context and how a work is presented influences the audience response.</w:t>
            </w:r>
          </w:p>
          <w:p w:rsidR="00000000" w:rsidDel="00000000" w:rsidP="00000000" w:rsidRDefault="00000000" w:rsidRPr="00000000" w14:paraId="000000C3">
            <w:pPr>
              <w:jc w:val="both"/>
              <w:rPr>
                <w:b w:val="1"/>
                <w:sz w:val="20"/>
                <w:szCs w:val="20"/>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b w:val="1"/>
                <w:sz w:val="20"/>
                <w:szCs w:val="20"/>
                <w:rtl w:val="0"/>
              </w:rPr>
              <w:t xml:space="preserve">6- Consolidated EQ: </w:t>
            </w:r>
            <w:r w:rsidDel="00000000" w:rsidR="00000000" w:rsidRPr="00000000">
              <w:rPr>
                <w:sz w:val="20"/>
                <w:szCs w:val="20"/>
                <w:rtl w:val="0"/>
              </w:rPr>
              <w:t xml:space="preserve">When is a presentation judged ready to present? How do context and the manner in which work is presented influence the audiences’ response?</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gridSpan w:val="6"/>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(Formative)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engage within: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(Summative)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complete:</w:t>
            </w:r>
          </w:p>
        </w:tc>
      </w:tr>
      <w:tr>
        <w:trPr>
          <w:cantSplit w:val="0"/>
          <w:trHeight w:val="6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Formative Assessments:</w:t>
            </w:r>
          </w:p>
          <w:p w:rsidR="00000000" w:rsidDel="00000000" w:rsidP="00000000" w:rsidRDefault="00000000" w:rsidRPr="00000000" w14:paraId="000000D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Student/Teacher Conversations</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Questioning</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Peer feedback/Group Discussions</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Self-Reflection</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Checklists</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Benchmarks:</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Rubric Evaluation</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Summative Assessments:</w:t>
            </w:r>
          </w:p>
          <w:p w:rsidR="00000000" w:rsidDel="00000000" w:rsidP="00000000" w:rsidRDefault="00000000" w:rsidRPr="00000000" w14:paraId="000000E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Student Portfolio</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Observation</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Performance</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Reflection</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Anecdotal Records</w:t>
            </w:r>
            <w:r w:rsidDel="00000000" w:rsidR="00000000" w:rsidRPr="00000000">
              <w:rPr>
                <w:rtl w:val="0"/>
              </w:rPr>
            </w:r>
          </w:p>
        </w:tc>
      </w:tr>
      <w:tr>
        <w:trPr>
          <w:cantSplit w:val="0"/>
          <w:trHeight w:val="44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and Learning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Resources/Materials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spacing w:after="240" w:before="240" w:lineRule="auto"/>
              <w:rPr>
                <w:sz w:val="20"/>
                <w:szCs w:val="20"/>
              </w:rPr>
            </w:pPr>
            <w:r w:rsidDel="00000000" w:rsidR="00000000" w:rsidRPr="00000000">
              <w:rPr>
                <w:i w:val="1"/>
                <w:sz w:val="20"/>
                <w:szCs w:val="20"/>
                <w:rtl w:val="0"/>
              </w:rPr>
              <w:t xml:space="preserve">Beginner’s Guide to Digital Painting in Photoshop. </w:t>
            </w:r>
            <w:r w:rsidDel="00000000" w:rsidR="00000000" w:rsidRPr="00000000">
              <w:rPr>
                <w:sz w:val="20"/>
                <w:szCs w:val="20"/>
                <w:rtl w:val="0"/>
              </w:rPr>
              <w:t xml:space="preserve">Second ed., 3D Total Publishing, 2020.</w:t>
            </w:r>
          </w:p>
          <w:p w:rsidR="00000000" w:rsidDel="00000000" w:rsidP="00000000" w:rsidRDefault="00000000" w:rsidRPr="00000000" w14:paraId="00000111">
            <w:pPr>
              <w:widowControl w:val="0"/>
              <w:spacing w:after="240" w:before="240" w:lineRule="auto"/>
              <w:rPr>
                <w:sz w:val="20"/>
                <w:szCs w:val="20"/>
              </w:rPr>
            </w:pPr>
            <w:r w:rsidDel="00000000" w:rsidR="00000000" w:rsidRPr="00000000">
              <w:rPr>
                <w:sz w:val="20"/>
                <w:szCs w:val="20"/>
                <w:rtl w:val="0"/>
              </w:rPr>
              <w:t xml:space="preserve">Bowater, Charlie &amp; Stenning, Derek. </w:t>
            </w:r>
            <w:r w:rsidDel="00000000" w:rsidR="00000000" w:rsidRPr="00000000">
              <w:rPr>
                <w:i w:val="1"/>
                <w:sz w:val="20"/>
                <w:szCs w:val="20"/>
                <w:rtl w:val="0"/>
              </w:rPr>
              <w:t xml:space="preserve">Beginner’s Guide to Digital Painting in Photoshop: Characters. </w:t>
            </w:r>
            <w:r w:rsidDel="00000000" w:rsidR="00000000" w:rsidRPr="00000000">
              <w:rPr>
                <w:sz w:val="20"/>
                <w:szCs w:val="20"/>
                <w:rtl w:val="0"/>
              </w:rPr>
              <w:t xml:space="preserve">Illustrated ed., 3D Total Publishing, 2015.</w:t>
            </w:r>
          </w:p>
          <w:p w:rsidR="00000000" w:rsidDel="00000000" w:rsidP="00000000" w:rsidRDefault="00000000" w:rsidRPr="00000000" w14:paraId="00000112">
            <w:pPr>
              <w:widowControl w:val="0"/>
              <w:spacing w:after="240" w:before="240" w:lineRule="auto"/>
              <w:rPr>
                <w:sz w:val="20"/>
                <w:szCs w:val="20"/>
              </w:rPr>
            </w:pPr>
            <w:r w:rsidDel="00000000" w:rsidR="00000000" w:rsidRPr="00000000">
              <w:rPr>
                <w:sz w:val="20"/>
                <w:szCs w:val="20"/>
                <w:rtl w:val="0"/>
              </w:rPr>
              <w:t xml:space="preserve">Loomis, Andrew. </w:t>
            </w:r>
            <w:r w:rsidDel="00000000" w:rsidR="00000000" w:rsidRPr="00000000">
              <w:rPr>
                <w:i w:val="1"/>
                <w:sz w:val="20"/>
                <w:szCs w:val="20"/>
                <w:rtl w:val="0"/>
              </w:rPr>
              <w:t xml:space="preserve">Creative Illustrations: The Art of William Andrew Loomis</w:t>
            </w:r>
            <w:r w:rsidDel="00000000" w:rsidR="00000000" w:rsidRPr="00000000">
              <w:rPr>
                <w:sz w:val="20"/>
                <w:szCs w:val="20"/>
                <w:rtl w:val="0"/>
              </w:rPr>
              <w:t xml:space="preserve">. Illustrated ed., Titan Books, 2012. </w:t>
            </w:r>
          </w:p>
          <w:p w:rsidR="00000000" w:rsidDel="00000000" w:rsidP="00000000" w:rsidRDefault="00000000" w:rsidRPr="00000000" w14:paraId="00000113">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Color and Light: A Guide for the Realist Painter</w:t>
            </w:r>
            <w:r w:rsidDel="00000000" w:rsidR="00000000" w:rsidRPr="00000000">
              <w:rPr>
                <w:sz w:val="20"/>
                <w:szCs w:val="20"/>
                <w:rtl w:val="0"/>
              </w:rPr>
              <w:t xml:space="preserve">. Second ed., Andrews McMeel Publishing, 2010. </w:t>
            </w:r>
          </w:p>
          <w:p w:rsidR="00000000" w:rsidDel="00000000" w:rsidP="00000000" w:rsidRDefault="00000000" w:rsidRPr="00000000" w14:paraId="00000114">
            <w:pPr>
              <w:widowControl w:val="0"/>
              <w:spacing w:after="240" w:before="240" w:lineRule="auto"/>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Imaginative Realism: How to Paint What Doesn’t Exist</w:t>
            </w:r>
            <w:r w:rsidDel="00000000" w:rsidR="00000000" w:rsidRPr="00000000">
              <w:rPr>
                <w:sz w:val="20"/>
                <w:szCs w:val="20"/>
                <w:rtl w:val="0"/>
              </w:rPr>
              <w:t xml:space="preserve">. Illustrated ed., Andrews McMeel Publishing, 2009. </w:t>
            </w:r>
          </w:p>
          <w:p w:rsidR="00000000" w:rsidDel="00000000" w:rsidP="00000000" w:rsidRDefault="00000000" w:rsidRPr="00000000" w14:paraId="00000115">
            <w:pPr>
              <w:widowControl w:val="0"/>
              <w:spacing w:after="240" w:before="240" w:lineRule="auto"/>
              <w:rPr>
                <w:sz w:val="20"/>
                <w:szCs w:val="20"/>
              </w:rPr>
            </w:pPr>
            <w:r w:rsidDel="00000000" w:rsidR="00000000" w:rsidRPr="00000000">
              <w:rPr>
                <w:sz w:val="20"/>
                <w:szCs w:val="20"/>
                <w:rtl w:val="0"/>
              </w:rPr>
              <w:t xml:space="preserve">Casey, Todd M. </w:t>
            </w:r>
            <w:r w:rsidDel="00000000" w:rsidR="00000000" w:rsidRPr="00000000">
              <w:rPr>
                <w:i w:val="1"/>
                <w:sz w:val="20"/>
                <w:szCs w:val="20"/>
                <w:rtl w:val="0"/>
              </w:rPr>
              <w:t xml:space="preserve">The Art of Still Life: A Contemporary Guide to Classical Techniques, Composition, and Painting in Oil. </w:t>
            </w:r>
            <w:r w:rsidDel="00000000" w:rsidR="00000000" w:rsidRPr="00000000">
              <w:rPr>
                <w:sz w:val="20"/>
                <w:szCs w:val="20"/>
                <w:rtl w:val="0"/>
              </w:rPr>
              <w:t xml:space="preserve">Illustrated ed., Monacelli Studio, 2020.</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the student’s special education or inclusion teacher prior to initial assessment to learn how to best tailor the format of any classwork, quiz or test to their individual special needs, as well as to discuss whether or not homework is appropriate.</w:t>
            </w: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an individual or classroom aide, when required by the student’s IEP or 504, to improve student focus, comprehension and time on task.</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access to supplemental materials, including use of online bilingual dictionary.</w:t>
            </w: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an ELL trained or inclusion teacher prior to initial assessment to learn how to best tailor the format of any classwork, quiz or test to their individual needs.</w:t>
            </w: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Connect students to related talent development opportunities, often offered through area colleges, with the assistance of guidance counselors.</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Supplemental Resources</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Technology:</w:t>
            </w:r>
          </w:p>
          <w:p w:rsidR="00000000" w:rsidDel="00000000" w:rsidP="00000000" w:rsidRDefault="00000000" w:rsidRPr="00000000" w14:paraId="000001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w:t>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Strategies &amp; Techniques</w:t>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Core</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Utilize a multi-sensory (Visual, Auditory, Kinesthetic, Tactile) approach as needed during instruction to better engage all learners.  </w:t>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alternate presentations of skills and steps required for project completion by varying the method (repetition, simple explanations, visual step-by-step guides, additional examples, modeling, etc).</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additional time to complete classwork as needed, when required according to students’ IEP or 504 plan. Break assignments up into shorter tasks while repeating directions as needed. Offer additional individual instruction time as needed.</w:t>
            </w: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Modify test content and/or format, allowing students additional time and preferential seating as needed, according to their IEP or 504 plan. Review, restate and repeat directions during any formal or informal assessments.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extended time to complete classwork and assessments as needed. Assignments and rubrics may need to be modified.</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preferred seating, when requested.</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Check often for understanding, and review as needed, providing oral and visual prompts when necessary.</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Offer pre-assessments to better understand students’ strengths, and create an enhanced set of introductory activities accordingly.</w:t>
            </w: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Integrate active teaching and learning opportunities, including grouping gifted students together to push each other academically.</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Propose interest-based extension activities and opportunities for extra credit.</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745"/>
        <w:gridCol w:w="480"/>
        <w:gridCol w:w="2760"/>
        <w:gridCol w:w="555"/>
        <w:gridCol w:w="2685"/>
        <w:gridCol w:w="570"/>
        <w:gridCol w:w="2670"/>
        <w:tblGridChange w:id="0">
          <w:tblGrid>
            <w:gridCol w:w="495"/>
            <w:gridCol w:w="2745"/>
            <w:gridCol w:w="480"/>
            <w:gridCol w:w="2760"/>
            <w:gridCol w:w="555"/>
            <w:gridCol w:w="2685"/>
            <w:gridCol w:w="570"/>
            <w:gridCol w:w="2670"/>
          </w:tblGrid>
        </w:tblGridChange>
      </w:tblGrid>
      <w:tr>
        <w:trPr>
          <w:cantSplit w:val="0"/>
          <w:trHeight w:val="400" w:hRule="atLeast"/>
          <w:tblHeader w:val="0"/>
        </w:trPr>
        <w:tc>
          <w:tcPr>
            <w:gridSpan w:val="8"/>
            <w:shd w:fill="000000" w:val="clear"/>
            <w:tcMar>
              <w:top w:w="100.0" w:type="dxa"/>
              <w:left w:w="100.0" w:type="dxa"/>
              <w:bottom w:w="100.0" w:type="dxa"/>
              <w:right w:w="100.0" w:type="dxa"/>
            </w:tcMa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New Jersey Legislative Statutes and Administrative Code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(place an “X” before each law/statute if/when present within the curriculum map)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Amistad Law: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 52:16A-88</w:t>
            </w:r>
          </w:p>
        </w:tc>
        <w:tc>
          <w:tcPr>
            <w:shd w:fill="auto" w:val="clear"/>
            <w:tcMar>
              <w:top w:w="100.0" w:type="dxa"/>
              <w:left w:w="100.0" w:type="dxa"/>
              <w:bottom w:w="100.0" w:type="dxa"/>
              <w:right w:w="100.0" w:type="dxa"/>
            </w:tcM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Holocaust Law: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18A:35-28</w:t>
            </w:r>
          </w:p>
        </w:tc>
        <w:tc>
          <w:tcPr>
            <w:shd w:fill="auto" w:val="clear"/>
            <w:tcMar>
              <w:top w:w="100.0" w:type="dxa"/>
              <w:left w:w="100.0" w:type="dxa"/>
              <w:bottom w:w="100.0" w:type="dxa"/>
              <w:right w:w="100.0" w:type="dxa"/>
            </w:tcM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LGBT and Disabilities Law: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18A:35-4.35</w:t>
            </w:r>
          </w:p>
        </w:tc>
        <w:tc>
          <w:tcPr>
            <w:shd w:fill="auto" w:val="clear"/>
            <w:tcMar>
              <w:top w:w="100.0" w:type="dxa"/>
              <w:left w:w="100.0" w:type="dxa"/>
              <w:bottom w:w="100.0" w:type="dxa"/>
              <w:right w:w="100.0" w:type="dxa"/>
            </w:tcMa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Standards in Action: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Climate Change</w:t>
            </w:r>
          </w:p>
        </w:tc>
      </w:tr>
    </w:tbl>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34"/>
                <w:szCs w:val="34"/>
                <w:u w:val="none"/>
                <w:shd w:fill="auto" w:val="clear"/>
                <w:vertAlign w:val="baseline"/>
                <w:rtl w:val="0"/>
              </w:rPr>
              <w:t xml:space="preserve">Standard 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Career Ready Practices</w:t>
            </w:r>
          </w:p>
        </w:tc>
        <w:tc>
          <w:tcPr>
            <w:shd w:fill="auto" w:val="clear"/>
            <w:tcMar>
              <w:top w:w="100.0" w:type="dxa"/>
              <w:left w:w="100.0" w:type="dxa"/>
              <w:bottom w:w="100.0" w:type="dxa"/>
              <w:right w:w="100.0" w:type="dxa"/>
            </w:tcM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 Act as a responsible and contributing citizen and employee.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____CRP2. Apply appropriate academic and technical skills.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____CRP3. Attend to personal health and financial well-being.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____CRP4. Communicate clearly and effectively and with reason.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____CRP5. Consider the environmental, social and economic impacts of decisions.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____CRP6. Demonstrate creativity and innovation.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____CRP7. Employ valid and reliable research strategies.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____CRP8. Utilize critical thinking to make sense of problems and persevere in solving them.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____CRP9. Model integrity, ethical leadership and effective management.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____CRP10. Plan education and career paths aligned to personal goals.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____CRP11. Use technology to enhance productivity.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____CRP12. Work productively in teams while using cultural global competence.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PERSONAL FINANCIAL LITERACY</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CAREER AWARENESS, EXPLORATION, AND PREPARATION</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9.3 CAREER &amp; TECHNICAL EDUCATION (CTE)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2979.0" w:type="dxa"/>
      <w:jc w:val="left"/>
      <w:tblInd w:w="0.0" w:type="dxa"/>
      <w:tblBorders>
        <w:bottom w:color="808080" w:space="0" w:sz="18" w:val="single"/>
        <w:insideV w:color="808080" w:space="0" w:sz="18" w:val="single"/>
      </w:tblBorders>
      <w:tblLayout w:type="fixed"/>
      <w:tblLook w:val="0400"/>
    </w:tblPr>
    <w:tblGrid>
      <w:gridCol w:w="11185"/>
      <w:gridCol w:w="1794"/>
      <w:tblGridChange w:id="0">
        <w:tblGrid>
          <w:gridCol w:w="11185"/>
          <w:gridCol w:w="1794"/>
        </w:tblGrid>
      </w:tblGridChange>
    </w:tblGrid>
    <w:tr>
      <w:trPr>
        <w:cantSplit w:val="0"/>
        <w:trHeight w:val="300" w:hRule="atLeast"/>
        <w:tblHeader w:val="0"/>
      </w:trPr>
      <w:tc>
        <w:tcPr/>
        <w:p w:rsidR="00000000" w:rsidDel="00000000" w:rsidP="00000000" w:rsidRDefault="00000000" w:rsidRPr="00000000" w14:paraId="000001CE">
          <w:pPr>
            <w:tabs>
              <w:tab w:val="center" w:pos="4680"/>
              <w:tab w:val="right" w:pos="9360"/>
            </w:tabs>
            <w:jc w:val="center"/>
            <w:rPr>
              <w:sz w:val="20"/>
              <w:szCs w:val="20"/>
            </w:rPr>
          </w:pPr>
          <w:r w:rsidDel="00000000" w:rsidR="00000000" w:rsidRPr="00000000">
            <w:rPr>
              <w:sz w:val="20"/>
              <w:szCs w:val="20"/>
              <w:rtl w:val="0"/>
            </w:rPr>
            <w:t xml:space="preserve">Content Area: Visual &amp; Performing Arts (NJSLS-VPA HS Proficient)</w:t>
          </w:r>
        </w:p>
        <w:p w:rsidR="00000000" w:rsidDel="00000000" w:rsidP="00000000" w:rsidRDefault="00000000" w:rsidRPr="00000000" w14:paraId="000001CF">
          <w:pPr>
            <w:tabs>
              <w:tab w:val="center" w:pos="4680"/>
              <w:tab w:val="right" w:pos="9360"/>
            </w:tabs>
            <w:jc w:val="center"/>
            <w:rPr>
              <w:sz w:val="20"/>
              <w:szCs w:val="20"/>
            </w:rPr>
          </w:pPr>
          <w:r w:rsidDel="00000000" w:rsidR="00000000" w:rsidRPr="00000000">
            <w:rPr>
              <w:sz w:val="20"/>
              <w:szCs w:val="20"/>
              <w:rtl w:val="0"/>
            </w:rPr>
            <w:t xml:space="preserve">Visual &amp; Performing Arts</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sz w:val="20"/>
              <w:szCs w:val="20"/>
            </w:rPr>
          </w:pPr>
          <w:r w:rsidDel="00000000" w:rsidR="00000000" w:rsidRPr="00000000">
            <w:rPr>
              <w:sz w:val="20"/>
              <w:szCs w:val="20"/>
              <w:rtl w:val="0"/>
            </w:rPr>
            <w:t xml:space="preserve">Grade(s): 9-12</w:t>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Dev.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2020-2021</w:t>
          </w:r>
          <w:r w:rsidDel="00000000" w:rsidR="00000000" w:rsidRPr="00000000">
            <w:rPr>
              <w:rtl w:val="0"/>
            </w:rPr>
          </w:r>
        </w:p>
      </w:tc>
    </w:tr>
  </w:tbl>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spacing w:after="100" w:before="100"/>
      <w:outlineLvl w:val="1"/>
    </w:pPr>
    <w:rPr>
      <w:b w:val="1"/>
      <w:sz w:val="36"/>
      <w:szCs w:val="36"/>
    </w:rPr>
  </w:style>
  <w:style w:type="paragraph" w:styleId="Heading3">
    <w:name w:val="heading 3"/>
    <w:basedOn w:val="normal0"/>
    <w:next w:val="normal0"/>
    <w:pPr>
      <w:spacing w:after="100" w:before="100"/>
      <w:outlineLvl w:val="2"/>
    </w:pPr>
    <w:rPr>
      <w:b w:val="1"/>
      <w:sz w:val="27"/>
      <w:szCs w:val="27"/>
    </w:rPr>
  </w:style>
  <w:style w:type="paragraph" w:styleId="Heading4">
    <w:name w:val="heading 4"/>
    <w:basedOn w:val="normal0"/>
    <w:next w:val="normal0"/>
    <w:pPr>
      <w:keepNext w:val="1"/>
      <w:keepLines w:val="1"/>
      <w:spacing w:before="200"/>
      <w:outlineLvl w:val="3"/>
    </w:pPr>
    <w:rPr>
      <w:rFonts w:ascii="Cambria" w:cs="Cambria" w:eastAsia="Cambria" w:hAnsi="Cambria"/>
      <w:b w:val="1"/>
      <w:i w:val="1"/>
      <w:color w:val="4f81bd"/>
    </w:rPr>
  </w:style>
  <w:style w:type="paragraph" w:styleId="Heading5">
    <w:name w:val="heading 5"/>
    <w:basedOn w:val="normal0"/>
    <w:next w:val="normal0"/>
    <w:pPr>
      <w:keepNext w:val="1"/>
      <w:keepLines w:val="1"/>
      <w:spacing w:after="40" w:before="220"/>
      <w:outlineLvl w:val="4"/>
    </w:pPr>
    <w:rPr>
      <w:b w:val="1"/>
      <w:sz w:val="22"/>
      <w:szCs w:val="2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pBdr>
        <w:bottom w:color="4f81bd" w:space="4" w:sz="8" w:val="single"/>
      </w:pBdr>
      <w:spacing w:after="300"/>
    </w:pPr>
    <w:rPr>
      <w:rFonts w:ascii="Cambria" w:cs="Cambria" w:eastAsia="Cambria" w:hAnsi="Cambria"/>
      <w:color w:val="17365d"/>
      <w:sz w:val="52"/>
      <w:szCs w:val="5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Xs9DozShXC3ZCCvCRLRPYVcWQ==">AMUW2mWpOoxfklymvq45pT7tw80+eCY6p0t+IjS7qjLK5byjWbe8X3j0Jz0ZuEb64ME9ByN6GOaxa6HSBUTwTy7HszVY3rnRRrkpt3any0VFlfeChceNJn+eqbUbAvQU6DbDAcf5aLro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2020-11-29T18:21:00Z</dcterms:created>
</cp:coreProperties>
</file>